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4D090" w14:textId="77777777" w:rsidR="0051342F" w:rsidRDefault="0051342F">
      <w:pPr>
        <w:jc w:val="center"/>
        <w:rPr>
          <w:rFonts w:ascii="Verdana" w:eastAsia="Verdana" w:hAnsi="Verdana" w:cs="Verdana"/>
          <w:b/>
        </w:rPr>
      </w:pPr>
    </w:p>
    <w:p w14:paraId="02921B7D" w14:textId="77777777" w:rsidR="0051342F" w:rsidRDefault="0051342F">
      <w:pPr>
        <w:jc w:val="center"/>
        <w:rPr>
          <w:rFonts w:ascii="Verdana" w:eastAsia="Verdana" w:hAnsi="Verdana" w:cs="Verdana"/>
          <w:b/>
        </w:rPr>
      </w:pPr>
    </w:p>
    <w:p w14:paraId="3A354D3F" w14:textId="77777777" w:rsidR="0051342F" w:rsidRDefault="00000000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In Emilia-Romagna la ricerca universitaria fa impresa:</w:t>
      </w:r>
    </w:p>
    <w:p w14:paraId="29E144A1" w14:textId="77777777" w:rsidR="0051342F" w:rsidRDefault="00000000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i cinque atenei insieme per lo </w:t>
      </w:r>
      <w:proofErr w:type="spellStart"/>
      <w:r>
        <w:rPr>
          <w:rFonts w:ascii="Verdana" w:eastAsia="Verdana" w:hAnsi="Verdana" w:cs="Verdana"/>
          <w:b/>
        </w:rPr>
        <w:t>StartUp</w:t>
      </w:r>
      <w:proofErr w:type="spellEnd"/>
      <w:r>
        <w:rPr>
          <w:rFonts w:ascii="Verdana" w:eastAsia="Verdana" w:hAnsi="Verdana" w:cs="Verdana"/>
          <w:b/>
        </w:rPr>
        <w:t xml:space="preserve"> Day, il 23 maggio a Bologna</w:t>
      </w:r>
    </w:p>
    <w:p w14:paraId="42129DB2" w14:textId="77777777" w:rsidR="0051342F" w:rsidRDefault="0051342F">
      <w:pPr>
        <w:rPr>
          <w:rFonts w:ascii="Verdana" w:eastAsia="Verdana" w:hAnsi="Verdana" w:cs="Verdana"/>
          <w:sz w:val="20"/>
          <w:szCs w:val="20"/>
        </w:rPr>
      </w:pPr>
    </w:p>
    <w:p w14:paraId="5F387AE5" w14:textId="77777777" w:rsidR="0051342F" w:rsidRDefault="00000000">
      <w:pPr>
        <w:jc w:val="both"/>
        <w:rPr>
          <w:rFonts w:ascii="Verdana" w:eastAsia="Verdana" w:hAnsi="Verdana" w:cs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 xml:space="preserve">50 progetti di impresa ideati da team di studentesse e studenti dei cinque atenei dell’Emilia-Romagna si confrontano con il mercato e incontrano oltre 35 tra startup, spin-off, aziende, investitori e professionisti. Ricerca, innovazione e nuova imprenditorialità in un evento regionale condiviso, grazie al supporto della Fondazione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Ecosister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: è l’undicesima edizione dello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StartUp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Day, che vede la collaborazione tra tutti gli atenei della regione, il CNR e ART-ER, il consorzio per la promozione dell'innovazione, dell'attrattività territoriale e dello sviluppo sostenibile dell’Emilia-Romagna. L’appuntamento è per il 23 maggio al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DumBO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di Bologna: oltre 15 eventi tra tavole rotonde, talk, pitch, laboratori e workshop focalizzati sulla necessità di uno sviluppo sostenibile. Una giornata pensata per fare emergere le migliori idee imprenditoriali “green” e per favorire l’incontro tra domanda e offerta di innovazione</w:t>
      </w:r>
    </w:p>
    <w:p w14:paraId="14CF9D1A" w14:textId="77777777" w:rsidR="0051342F" w:rsidRDefault="0051342F"/>
    <w:p w14:paraId="2ABDA95C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Da 11 anni a Bologna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StartUp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Day</w:t>
      </w:r>
      <w:r>
        <w:rPr>
          <w:rFonts w:ascii="Verdana" w:eastAsia="Verdana" w:hAnsi="Verdana" w:cs="Verdana"/>
          <w:sz w:val="20"/>
          <w:szCs w:val="20"/>
        </w:rPr>
        <w:t xml:space="preserve"> è sinonimo di sinergia tra ricerca, innovazione e impresa: una giornata che ha l’obiettivo di stimolare lo sviluppo di progetti imprenditoriali provenienti dal mondo accademico e studentesco e di promuovere la cultura dell’innovazione aperta e sostenibile.</w:t>
      </w:r>
    </w:p>
    <w:p w14:paraId="4917039D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Un evento che il </w:t>
      </w:r>
      <w:r>
        <w:rPr>
          <w:rFonts w:ascii="Verdana" w:eastAsia="Verdana" w:hAnsi="Verdana" w:cs="Verdana"/>
          <w:b/>
          <w:sz w:val="20"/>
          <w:szCs w:val="20"/>
        </w:rPr>
        <w:t>23 maggio</w:t>
      </w:r>
      <w:r>
        <w:rPr>
          <w:rFonts w:ascii="Verdana" w:eastAsia="Verdana" w:hAnsi="Verdana" w:cs="Verdana"/>
          <w:sz w:val="20"/>
          <w:szCs w:val="20"/>
        </w:rPr>
        <w:t xml:space="preserve"> accoglierà presso gli spazi del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DumBO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un ecosistema ricco e articolato di attori del trasferimento tecnologico e dell’imprenditorialità: </w:t>
      </w:r>
      <w:r>
        <w:rPr>
          <w:rFonts w:ascii="Verdana" w:eastAsia="Verdana" w:hAnsi="Verdana" w:cs="Verdana"/>
          <w:b/>
          <w:sz w:val="20"/>
          <w:szCs w:val="20"/>
        </w:rPr>
        <w:t>50 team universitari</w:t>
      </w:r>
      <w:r>
        <w:rPr>
          <w:rFonts w:ascii="Verdana" w:eastAsia="Verdana" w:hAnsi="Verdana" w:cs="Verdana"/>
          <w:sz w:val="20"/>
          <w:szCs w:val="20"/>
        </w:rPr>
        <w:t xml:space="preserve">, veri e propri nuovi portatori di conoscenza e innovazione generata in ambito accademico, si confronteranno con </w:t>
      </w:r>
      <w:r>
        <w:rPr>
          <w:rFonts w:ascii="Verdana" w:eastAsia="Verdana" w:hAnsi="Verdana" w:cs="Verdana"/>
          <w:b/>
          <w:sz w:val="20"/>
          <w:szCs w:val="20"/>
        </w:rPr>
        <w:t xml:space="preserve">oltre 35 esperti e professionisti </w:t>
      </w:r>
      <w:r>
        <w:rPr>
          <w:rFonts w:ascii="Verdana" w:eastAsia="Verdana" w:hAnsi="Verdana" w:cs="Verdana"/>
          <w:sz w:val="20"/>
          <w:szCs w:val="20"/>
        </w:rPr>
        <w:t xml:space="preserve">provenienti da </w:t>
      </w:r>
      <w:r>
        <w:rPr>
          <w:rFonts w:ascii="Verdana" w:eastAsia="Verdana" w:hAnsi="Verdana" w:cs="Verdana"/>
          <w:b/>
          <w:sz w:val="20"/>
          <w:szCs w:val="20"/>
        </w:rPr>
        <w:t xml:space="preserve">startup e spin-off universitari, incubatori, acceleratori e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innovation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hub</w:t>
      </w:r>
      <w:r>
        <w:rPr>
          <w:rFonts w:ascii="Verdana" w:eastAsia="Verdana" w:hAnsi="Verdana" w:cs="Verdana"/>
          <w:sz w:val="20"/>
          <w:szCs w:val="20"/>
        </w:rPr>
        <w:t>, che operano come ponte tra ricerca e mercato.</w:t>
      </w:r>
    </w:p>
    <w:p w14:paraId="12F28C08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Saranno presenti inoltre </w:t>
      </w:r>
      <w:r>
        <w:rPr>
          <w:rFonts w:ascii="Verdana" w:eastAsia="Verdana" w:hAnsi="Verdana" w:cs="Verdana"/>
          <w:b/>
          <w:sz w:val="20"/>
          <w:szCs w:val="20"/>
        </w:rPr>
        <w:t>aziende leader di settore e investitori</w:t>
      </w:r>
      <w:r>
        <w:rPr>
          <w:rFonts w:ascii="Verdana" w:eastAsia="Verdana" w:hAnsi="Verdana" w:cs="Verdana"/>
          <w:sz w:val="20"/>
          <w:szCs w:val="20"/>
        </w:rPr>
        <w:t xml:space="preserve">, impegnati nello sviluppo del panorama startup nazionale e internazionale, insieme a </w:t>
      </w:r>
      <w:r>
        <w:rPr>
          <w:rFonts w:ascii="Verdana" w:eastAsia="Verdana" w:hAnsi="Verdana" w:cs="Verdana"/>
          <w:b/>
          <w:sz w:val="20"/>
          <w:szCs w:val="20"/>
        </w:rPr>
        <w:t>policy maker, docenti e specialisti</w:t>
      </w:r>
      <w:r>
        <w:rPr>
          <w:rFonts w:ascii="Verdana" w:eastAsia="Verdana" w:hAnsi="Verdana" w:cs="Verdana"/>
          <w:sz w:val="20"/>
          <w:szCs w:val="20"/>
        </w:rPr>
        <w:t>, per discutere scenari, opportunità e prospettive della nuova imprenditorialità accademica e del suo impatto culturale e socio-economico sul territorio.</w:t>
      </w:r>
    </w:p>
    <w:p w14:paraId="7DF2DB41" w14:textId="77777777" w:rsidR="0051342F" w:rsidRDefault="0051342F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8D25056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Nato nel 2015 su iniziativa dell’Università di Bologna per connettere il mondo delle startup nate in ateneo e il tessuto imprenditoriale locale, quest’anno, per la sua </w:t>
      </w:r>
      <w:r>
        <w:rPr>
          <w:rFonts w:ascii="Verdana" w:eastAsia="Verdana" w:hAnsi="Verdana" w:cs="Verdana"/>
          <w:b/>
          <w:sz w:val="20"/>
          <w:szCs w:val="20"/>
        </w:rPr>
        <w:t>undicesima edizione</w:t>
      </w:r>
      <w:r>
        <w:rPr>
          <w:rFonts w:ascii="Verdana" w:eastAsia="Verdana" w:hAnsi="Verdana" w:cs="Verdana"/>
          <w:sz w:val="20"/>
          <w:szCs w:val="20"/>
        </w:rPr>
        <w:t xml:space="preserve">, lo </w:t>
      </w:r>
      <w:proofErr w:type="spellStart"/>
      <w:r>
        <w:rPr>
          <w:rFonts w:ascii="Verdana" w:eastAsia="Verdana" w:hAnsi="Verdana" w:cs="Verdana"/>
          <w:sz w:val="20"/>
          <w:szCs w:val="20"/>
        </w:rPr>
        <w:t>StartUp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Day si allarga fino a coinvolgere </w:t>
      </w:r>
      <w:r>
        <w:rPr>
          <w:rFonts w:ascii="Verdana" w:eastAsia="Verdana" w:hAnsi="Verdana" w:cs="Verdana"/>
          <w:b/>
          <w:sz w:val="20"/>
          <w:szCs w:val="20"/>
        </w:rPr>
        <w:t>tutti gli atenei dell’Emilia-Romagna</w:t>
      </w:r>
      <w:r>
        <w:rPr>
          <w:rFonts w:ascii="Verdana" w:eastAsia="Verdana" w:hAnsi="Verdana" w:cs="Verdana"/>
          <w:sz w:val="20"/>
          <w:szCs w:val="20"/>
        </w:rPr>
        <w:t xml:space="preserve"> – Università di Bologna, di Parma, di Modena e Reggio Emilia, di Ferrara e, nella sede di Piacenza l’Università Cattolica e il Politecnico di Milano – assieme al </w:t>
      </w:r>
      <w:r>
        <w:rPr>
          <w:rFonts w:ascii="Verdana" w:eastAsia="Verdana" w:hAnsi="Verdana" w:cs="Verdana"/>
          <w:b/>
          <w:sz w:val="20"/>
          <w:szCs w:val="20"/>
        </w:rPr>
        <w:t>CNR</w:t>
      </w:r>
      <w:r>
        <w:rPr>
          <w:rFonts w:ascii="Verdana" w:eastAsia="Verdana" w:hAnsi="Verdana" w:cs="Verdana"/>
          <w:sz w:val="20"/>
          <w:szCs w:val="20"/>
        </w:rPr>
        <w:t xml:space="preserve"> di Bologna, con il sostegno di </w:t>
      </w:r>
      <w:r>
        <w:rPr>
          <w:rFonts w:ascii="Verdana" w:eastAsia="Verdana" w:hAnsi="Verdana" w:cs="Verdana"/>
          <w:b/>
          <w:sz w:val="20"/>
          <w:szCs w:val="20"/>
        </w:rPr>
        <w:t>ART-ER</w:t>
      </w:r>
      <w:r>
        <w:rPr>
          <w:rFonts w:ascii="Verdana" w:eastAsia="Verdana" w:hAnsi="Verdana" w:cs="Verdana"/>
          <w:sz w:val="20"/>
          <w:szCs w:val="20"/>
        </w:rPr>
        <w:t xml:space="preserve"> e della </w:t>
      </w:r>
      <w:r>
        <w:rPr>
          <w:rFonts w:ascii="Verdana" w:eastAsia="Verdana" w:hAnsi="Verdana" w:cs="Verdana"/>
          <w:b/>
          <w:sz w:val="20"/>
          <w:szCs w:val="20"/>
        </w:rPr>
        <w:t xml:space="preserve">Fondazione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Ecosister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.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Il calendario delle attività si articola in momenti di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networking, pitch, tavole rotonde, workshop e laboratori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orientati a valorizzare le migliori idee imprenditoriali e favorire l’incontro tra domanda e offerta di innovazione. L’evento vuole essere una vetrina dinamica delle competenze tecnologiche e delle ricadute imprenditoriali generate dal sistema universitario, sottolineando la centralità della formazione e della ricerca come motori fondamentali per lo sviluppo del territorio. </w:t>
      </w:r>
      <w:r>
        <w:rPr>
          <w:rFonts w:ascii="Verdana" w:eastAsia="Verdana" w:hAnsi="Verdana" w:cs="Verdana"/>
          <w:sz w:val="20"/>
          <w:szCs w:val="20"/>
        </w:rPr>
        <w:t xml:space="preserve">Dall'edizione 2024, si segnala l’introduzione di premi volti a sostenere in modo concreto lo sviluppo imprenditoriale dei team partecipanti. In particolare, il </w:t>
      </w:r>
      <w:r>
        <w:rPr>
          <w:rFonts w:ascii="Verdana" w:eastAsia="Verdana" w:hAnsi="Verdana" w:cs="Verdana"/>
          <w:i/>
          <w:sz w:val="20"/>
          <w:szCs w:val="20"/>
        </w:rPr>
        <w:t xml:space="preserve">premio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Ecosister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International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Mindset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Studenti</w:t>
      </w:r>
      <w:r>
        <w:rPr>
          <w:rFonts w:ascii="Verdana" w:eastAsia="Verdana" w:hAnsi="Verdana" w:cs="Verdana"/>
          <w:sz w:val="20"/>
          <w:szCs w:val="20"/>
        </w:rPr>
        <w:t xml:space="preserve"> si distingue per l’attenzione riservata a progetti che coniughino sostenibilità ambientale e visione internazionale. Lo scorso anno, grazie al supporto di </w:t>
      </w:r>
      <w:proofErr w:type="spellStart"/>
      <w:r>
        <w:rPr>
          <w:rFonts w:ascii="Verdana" w:eastAsia="Verdana" w:hAnsi="Verdana" w:cs="Verdana"/>
          <w:sz w:val="20"/>
          <w:szCs w:val="20"/>
        </w:rPr>
        <w:t>Ecosister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, i vincitori hanno potuto prendere parte al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Dublin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Tech Summit 2025</w:t>
      </w:r>
      <w:r>
        <w:rPr>
          <w:rFonts w:ascii="Verdana" w:eastAsia="Verdana" w:hAnsi="Verdana" w:cs="Verdana"/>
          <w:sz w:val="20"/>
          <w:szCs w:val="20"/>
        </w:rPr>
        <w:t>, un’importante occasione di crescita e confronto a livello europeo.</w:t>
      </w:r>
    </w:p>
    <w:p w14:paraId="098B5A94" w14:textId="77777777" w:rsidR="0051342F" w:rsidRDefault="0051342F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421E90FE" w14:textId="77777777" w:rsidR="0051342F" w:rsidRDefault="00000000">
      <w:pPr>
        <w:rPr>
          <w:rFonts w:ascii="Verdana" w:eastAsia="Verdana" w:hAnsi="Verdana" w:cs="Verdana"/>
          <w:b/>
          <w:sz w:val="20"/>
          <w:szCs w:val="20"/>
          <w:u w:val="single"/>
        </w:rPr>
      </w:pPr>
      <w:r>
        <w:rPr>
          <w:rFonts w:ascii="Verdana" w:eastAsia="Verdana" w:hAnsi="Verdana" w:cs="Verdana"/>
          <w:b/>
          <w:sz w:val="20"/>
          <w:szCs w:val="20"/>
          <w:u w:val="single"/>
        </w:rPr>
        <w:t xml:space="preserve">Il programma dello </w:t>
      </w:r>
      <w:proofErr w:type="spellStart"/>
      <w:r>
        <w:rPr>
          <w:rFonts w:ascii="Verdana" w:eastAsia="Verdana" w:hAnsi="Verdana" w:cs="Verdana"/>
          <w:b/>
          <w:sz w:val="20"/>
          <w:szCs w:val="20"/>
          <w:u w:val="single"/>
        </w:rPr>
        <w:t>StartUp</w:t>
      </w:r>
      <w:proofErr w:type="spellEnd"/>
      <w:r>
        <w:rPr>
          <w:rFonts w:ascii="Verdana" w:eastAsia="Verdana" w:hAnsi="Verdana" w:cs="Verdana"/>
          <w:b/>
          <w:sz w:val="20"/>
          <w:szCs w:val="20"/>
          <w:u w:val="single"/>
        </w:rPr>
        <w:t xml:space="preserve"> Day</w:t>
      </w:r>
    </w:p>
    <w:p w14:paraId="29AD4714" w14:textId="77777777" w:rsidR="0051342F" w:rsidRDefault="0051342F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778C85D5" w14:textId="77777777" w:rsidR="0051342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Lo </w:t>
      </w:r>
      <w:proofErr w:type="spellStart"/>
      <w:r>
        <w:rPr>
          <w:rFonts w:ascii="Verdana" w:eastAsia="Verdana" w:hAnsi="Verdana" w:cs="Verdana"/>
          <w:sz w:val="20"/>
          <w:szCs w:val="20"/>
        </w:rPr>
        <w:t>StartUp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Day si articola in tre macro-sezioni principali, concepite per valorizzare i diversi momenti della giornata e favorire un’interazione strutturata tra i partecipanti:</w:t>
      </w:r>
    </w:p>
    <w:p w14:paraId="64F725BA" w14:textId="77777777" w:rsidR="00513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La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presentazione di nuovi progetti d’impresa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da parte di studentesse e studenti universitari</w:t>
      </w:r>
      <w:r>
        <w:rPr>
          <w:rFonts w:ascii="Verdana" w:eastAsia="Verdana" w:hAnsi="Verdana" w:cs="Verdana"/>
          <w:sz w:val="20"/>
          <w:szCs w:val="20"/>
        </w:rPr>
        <w:t>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50 team imprenditoriali studenteschi, provenienti da tutti gli atenei della Regione Emilia-Romagna, hanno l’opportunità di raccontare i propri progetti tramite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elevator pitch</w:t>
      </w:r>
      <w:r>
        <w:rPr>
          <w:rFonts w:ascii="Verdana" w:eastAsia="Verdana" w:hAnsi="Verdana" w:cs="Verdana"/>
          <w:color w:val="000000"/>
          <w:sz w:val="20"/>
          <w:szCs w:val="20"/>
        </w:rPr>
        <w:t>, ricevere feedback da giurie di esperti, investitori e rappresentanti del mondo produttivo e accedere a premi utili per lo sviluppo del proprio modello di business</w:t>
      </w:r>
      <w:r>
        <w:rPr>
          <w:rFonts w:ascii="Verdana" w:eastAsia="Verdana" w:hAnsi="Verdana" w:cs="Verdana"/>
          <w:sz w:val="20"/>
          <w:szCs w:val="20"/>
        </w:rPr>
        <w:t>;</w:t>
      </w:r>
    </w:p>
    <w:p w14:paraId="786F3964" w14:textId="77777777" w:rsidR="00513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L’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Area Expo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ospita 35 realtà del sistema imprenditoriale regionale tra aziende, startup e spin-off accreditati dagli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tenei, investitori e partner che illustrano il panorama di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opportunità e strumenti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che contribuiscono allo sviluppo imprenditoriale sul territorio locale e internazionale</w:t>
      </w:r>
      <w:r>
        <w:rPr>
          <w:rFonts w:ascii="Verdana" w:eastAsia="Verdana" w:hAnsi="Verdana" w:cs="Verdana"/>
          <w:sz w:val="20"/>
          <w:szCs w:val="20"/>
        </w:rPr>
        <w:t>;</w:t>
      </w:r>
    </w:p>
    <w:p w14:paraId="5DF9B5F3" w14:textId="77777777" w:rsidR="0051342F" w:rsidRPr="00C15F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Ospiti, tavole rotonde, eventi off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contribuiscono a stimolare un dialogo aperto e interdisciplinare: la giornata, con un calendario di oltre </w:t>
      </w:r>
      <w:r>
        <w:rPr>
          <w:rFonts w:ascii="Verdana" w:eastAsia="Verdana" w:hAnsi="Verdana" w:cs="Verdana"/>
          <w:sz w:val="20"/>
          <w:szCs w:val="20"/>
        </w:rPr>
        <w:t>15</w:t>
      </w:r>
      <w:sdt>
        <w:sdtPr>
          <w:tag w:val="goog_rdk_0"/>
          <w:id w:val="-1962863211"/>
        </w:sdtPr>
        <w:sdtContent>
          <w:r>
            <w:rPr>
              <w:rFonts w:ascii="Verdana" w:eastAsia="Verdana" w:hAnsi="Verdana" w:cs="Verdana"/>
              <w:sz w:val="20"/>
              <w:szCs w:val="20"/>
            </w:rPr>
            <w:t xml:space="preserve"> </w:t>
          </w:r>
        </w:sdtContent>
      </w:sdt>
      <w:r>
        <w:rPr>
          <w:rFonts w:ascii="Verdana" w:eastAsia="Verdana" w:hAnsi="Verdana" w:cs="Verdana"/>
          <w:color w:val="000000"/>
          <w:sz w:val="20"/>
          <w:szCs w:val="20"/>
        </w:rPr>
        <w:t>appuntamenti, vuole essere un catalizzatore di esperienze e saperi, mettendo in relazione studenti, ricercatori, startup, aziende, enti pubblici e cittadinanza attiva. Sono previste, tra l’altro, quattro tavole rotonde dedicate alle nuove frontiere dell’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imprenditorialità nell’era dell’intelligenza artificiale,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alle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forme di impresa orientate a un impatto sociale e ambientale sostenibile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alle opportunità per l’imprenditoria femminile,</w:t>
      </w:r>
      <w:r>
        <w:rPr>
          <w:rFonts w:ascii="Verdana" w:eastAsia="Verdana" w:hAnsi="Verdana" w:cs="Verdana"/>
          <w:sz w:val="20"/>
          <w:szCs w:val="20"/>
        </w:rPr>
        <w:t xml:space="preserve"> e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alla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voce diretta degli investitori</w:t>
      </w:r>
      <w:r>
        <w:rPr>
          <w:rFonts w:ascii="Verdana" w:eastAsia="Verdana" w:hAnsi="Verdana" w:cs="Verdana"/>
          <w:color w:val="000000"/>
          <w:sz w:val="20"/>
          <w:szCs w:val="20"/>
        </w:rPr>
        <w:t>, che riportano best practices, opportunità e scenari di rischio per la scalabilità e il successo di un’idea di business.</w:t>
      </w:r>
    </w:p>
    <w:p w14:paraId="1B5CE720" w14:textId="77777777" w:rsidR="00DE2AEC" w:rsidRPr="00C15FEF" w:rsidRDefault="00DE2AEC" w:rsidP="00C15FE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14:paraId="30EF0BCE" w14:textId="7A9579D1" w:rsidR="006B4859" w:rsidRDefault="006B4859" w:rsidP="006B4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Per quanto riguarda la partecipazione dell’Università degli Studi di Ferrara, agli </w:t>
      </w:r>
      <w:r w:rsidRPr="00C15FEF">
        <w:rPr>
          <w:rFonts w:ascii="Verdana" w:eastAsia="Verdana" w:hAnsi="Verdana" w:cs="Verdana"/>
          <w:i/>
          <w:iCs/>
          <w:sz w:val="20"/>
          <w:szCs w:val="20"/>
        </w:rPr>
        <w:t>elevator pitch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="00DE2AEC">
        <w:rPr>
          <w:rFonts w:ascii="Verdana" w:eastAsia="Verdana" w:hAnsi="Verdana" w:cs="Verdana"/>
          <w:sz w:val="20"/>
          <w:szCs w:val="20"/>
        </w:rPr>
        <w:t>saranno presenti</w:t>
      </w:r>
      <w:r>
        <w:rPr>
          <w:rFonts w:ascii="Verdana" w:eastAsia="Verdana" w:hAnsi="Verdana" w:cs="Verdana"/>
          <w:sz w:val="20"/>
          <w:szCs w:val="20"/>
        </w:rPr>
        <w:t xml:space="preserve"> i cinque progetti selezionati nella c</w:t>
      </w:r>
      <w:r w:rsidR="00BF2B93"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tegoria JUNIOR Entrepreneur all’interno del Bando Startup Edizione 2024/2024 e più precisamente:</w:t>
      </w:r>
    </w:p>
    <w:p w14:paraId="10EB989F" w14:textId="0897EEDB" w:rsidR="00BF2B93" w:rsidRDefault="00BF2B93" w:rsidP="00BF2B93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CC – </w:t>
      </w:r>
      <w:proofErr w:type="spellStart"/>
      <w:r>
        <w:rPr>
          <w:rFonts w:ascii="Verdana" w:eastAsia="Verdana" w:hAnsi="Verdana" w:cs="Verdana"/>
          <w:sz w:val="20"/>
          <w:szCs w:val="20"/>
        </w:rPr>
        <w:t>Crab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Control</w:t>
      </w:r>
      <w:r w:rsidR="003F7B31">
        <w:rPr>
          <w:rFonts w:ascii="Verdana" w:eastAsia="Verdana" w:hAnsi="Verdana" w:cs="Verdana"/>
          <w:sz w:val="20"/>
          <w:szCs w:val="20"/>
        </w:rPr>
        <w:t>: progetto finalizzato al contenimento e lo sfruttamento del Granchio Blu</w:t>
      </w:r>
      <w:r w:rsidR="009D6C02">
        <w:rPr>
          <w:rFonts w:ascii="Verdana" w:eastAsia="Verdana" w:hAnsi="Verdana" w:cs="Verdana"/>
          <w:sz w:val="20"/>
          <w:szCs w:val="20"/>
        </w:rPr>
        <w:t>;</w:t>
      </w:r>
    </w:p>
    <w:p w14:paraId="59369E4D" w14:textId="1700129C" w:rsidR="00BF2B93" w:rsidRPr="00C15FEF" w:rsidRDefault="00BF2B93" w:rsidP="00BF2B93">
      <w:pPr>
        <w:jc w:val="both"/>
        <w:rPr>
          <w:rFonts w:ascii="Verdana" w:eastAsia="Verdana" w:hAnsi="Verdana" w:cs="Verdana"/>
          <w:sz w:val="20"/>
          <w:szCs w:val="20"/>
        </w:rPr>
      </w:pPr>
      <w:r w:rsidRPr="00C15FEF">
        <w:rPr>
          <w:rFonts w:ascii="Verdana" w:eastAsia="Verdana" w:hAnsi="Verdana" w:cs="Verdana"/>
          <w:sz w:val="20"/>
          <w:szCs w:val="20"/>
        </w:rPr>
        <w:t>DL – Demetra Lab</w:t>
      </w:r>
      <w:r w:rsidR="003F7B31">
        <w:rPr>
          <w:rFonts w:ascii="Verdana" w:eastAsia="Verdana" w:hAnsi="Verdana" w:cs="Verdana"/>
          <w:sz w:val="20"/>
          <w:szCs w:val="20"/>
        </w:rPr>
        <w:t xml:space="preserve">: </w:t>
      </w:r>
      <w:r w:rsidR="009D6C02">
        <w:rPr>
          <w:rFonts w:ascii="Verdana" w:eastAsia="Verdana" w:hAnsi="Verdana" w:cs="Verdana"/>
          <w:sz w:val="20"/>
          <w:szCs w:val="20"/>
        </w:rPr>
        <w:t xml:space="preserve">progettualità tesa a </w:t>
      </w:r>
      <w:r w:rsidR="009D6C02" w:rsidRPr="009D6C02">
        <w:rPr>
          <w:rFonts w:ascii="Verdana" w:eastAsia="Verdana" w:hAnsi="Verdana" w:cs="Verdana"/>
          <w:sz w:val="20"/>
          <w:szCs w:val="20"/>
        </w:rPr>
        <w:t>fornire una materia prima ricca di nutrimento per la filiera alimentare, sia umana che animale</w:t>
      </w:r>
      <w:r w:rsidR="009D6C02">
        <w:rPr>
          <w:rFonts w:ascii="Verdana" w:eastAsia="Verdana" w:hAnsi="Verdana" w:cs="Verdana"/>
          <w:sz w:val="20"/>
          <w:szCs w:val="20"/>
        </w:rPr>
        <w:t>;</w:t>
      </w:r>
    </w:p>
    <w:p w14:paraId="7DAA7FF1" w14:textId="12C0B382" w:rsidR="0051342F" w:rsidRDefault="00BF2B93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ISBE- Impianto smaltimento Batterie Esauste</w:t>
      </w:r>
      <w:r w:rsidR="009D6C02">
        <w:rPr>
          <w:rFonts w:ascii="Verdana" w:eastAsia="Verdana" w:hAnsi="Verdana" w:cs="Verdana"/>
          <w:sz w:val="20"/>
          <w:szCs w:val="20"/>
        </w:rPr>
        <w:t>: idea per lo smaltimento delle batterie basata su un sistema innovativo e sostenibile;</w:t>
      </w:r>
    </w:p>
    <w:p w14:paraId="18D558BC" w14:textId="4C21A467" w:rsidR="00BF2B93" w:rsidRPr="009D6C02" w:rsidRDefault="00BF2B93">
      <w:pPr>
        <w:jc w:val="both"/>
        <w:rPr>
          <w:rFonts w:ascii="Verdana" w:eastAsia="Verdana" w:hAnsi="Verdana" w:cs="Verdana"/>
          <w:sz w:val="20"/>
          <w:szCs w:val="20"/>
        </w:rPr>
      </w:pPr>
      <w:r w:rsidRPr="009D6C02">
        <w:rPr>
          <w:rFonts w:ascii="Verdana" w:eastAsia="Verdana" w:hAnsi="Verdana" w:cs="Verdana"/>
          <w:sz w:val="20"/>
          <w:szCs w:val="20"/>
        </w:rPr>
        <w:t xml:space="preserve">OPM – </w:t>
      </w:r>
      <w:proofErr w:type="spellStart"/>
      <w:r w:rsidRPr="00C15FEF">
        <w:rPr>
          <w:rFonts w:ascii="Verdana" w:eastAsia="Verdana" w:hAnsi="Verdana" w:cs="Verdana"/>
          <w:sz w:val="20"/>
          <w:szCs w:val="20"/>
        </w:rPr>
        <w:t>Occasional</w:t>
      </w:r>
      <w:proofErr w:type="spellEnd"/>
      <w:r w:rsidRPr="00C15FEF"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 w:rsidRPr="00C15FEF">
        <w:rPr>
          <w:rFonts w:ascii="Verdana" w:eastAsia="Verdana" w:hAnsi="Verdana" w:cs="Verdana"/>
          <w:sz w:val="20"/>
          <w:szCs w:val="20"/>
        </w:rPr>
        <w:t>Purchase</w:t>
      </w:r>
      <w:proofErr w:type="spellEnd"/>
      <w:r w:rsidRPr="00C15FEF"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 w:rsidRPr="00C15FEF">
        <w:rPr>
          <w:rFonts w:ascii="Verdana" w:eastAsia="Verdana" w:hAnsi="Verdana" w:cs="Verdana"/>
          <w:sz w:val="20"/>
          <w:szCs w:val="20"/>
        </w:rPr>
        <w:t>Maximizer</w:t>
      </w:r>
      <w:proofErr w:type="spellEnd"/>
      <w:r w:rsidR="009D6C02" w:rsidRPr="009D6C02">
        <w:rPr>
          <w:rFonts w:ascii="Verdana" w:eastAsia="Verdana" w:hAnsi="Verdana" w:cs="Verdana"/>
          <w:sz w:val="20"/>
          <w:szCs w:val="20"/>
        </w:rPr>
        <w:t xml:space="preserve">: </w:t>
      </w:r>
      <w:r w:rsidR="009D6C02">
        <w:rPr>
          <w:rFonts w:ascii="Verdana" w:eastAsia="Verdana" w:hAnsi="Verdana" w:cs="Verdana"/>
          <w:sz w:val="20"/>
          <w:szCs w:val="20"/>
        </w:rPr>
        <w:t>s</w:t>
      </w:r>
      <w:r w:rsidR="009D6C02" w:rsidRPr="00C15FEF">
        <w:rPr>
          <w:rFonts w:ascii="Verdana" w:eastAsia="Verdana" w:hAnsi="Verdana" w:cs="Verdana"/>
          <w:sz w:val="20"/>
          <w:szCs w:val="20"/>
        </w:rPr>
        <w:t>istema teso ad</w:t>
      </w:r>
      <w:r w:rsidR="009D6C02">
        <w:rPr>
          <w:rFonts w:ascii="Verdana" w:eastAsia="Verdana" w:hAnsi="Verdana" w:cs="Verdana"/>
          <w:sz w:val="20"/>
          <w:szCs w:val="20"/>
        </w:rPr>
        <w:t xml:space="preserve"> ottimizzare la disposizione dei prodotti negli scaffali dei supermercati a vantaggio di clienti e venditori;</w:t>
      </w:r>
    </w:p>
    <w:p w14:paraId="6A1AB679" w14:textId="173151CA" w:rsidR="00BF2B93" w:rsidRPr="009D6C02" w:rsidRDefault="00BF2B93">
      <w:pPr>
        <w:jc w:val="both"/>
        <w:rPr>
          <w:rFonts w:ascii="Verdana" w:eastAsia="Verdana" w:hAnsi="Verdana" w:cs="Verdana"/>
          <w:sz w:val="20"/>
          <w:szCs w:val="20"/>
        </w:rPr>
      </w:pPr>
      <w:r w:rsidRPr="009D6C02">
        <w:rPr>
          <w:rFonts w:ascii="Verdana" w:eastAsia="Verdana" w:hAnsi="Verdana" w:cs="Verdana"/>
          <w:sz w:val="20"/>
          <w:szCs w:val="20"/>
        </w:rPr>
        <w:t>S</w:t>
      </w:r>
      <w:r w:rsidRPr="00C15FEF">
        <w:rPr>
          <w:rFonts w:ascii="Verdana" w:eastAsia="Verdana" w:hAnsi="Verdana" w:cs="Verdana"/>
          <w:sz w:val="20"/>
          <w:szCs w:val="20"/>
        </w:rPr>
        <w:t>acca Smart Snow – 3 Snow</w:t>
      </w:r>
      <w:r w:rsidR="009D6C02" w:rsidRPr="00C15FEF">
        <w:rPr>
          <w:rFonts w:ascii="Verdana" w:eastAsia="Verdana" w:hAnsi="Verdana" w:cs="Verdana"/>
          <w:sz w:val="20"/>
          <w:szCs w:val="20"/>
        </w:rPr>
        <w:t>: Progetto pe</w:t>
      </w:r>
      <w:r w:rsidR="009D6C02">
        <w:rPr>
          <w:rFonts w:ascii="Verdana" w:eastAsia="Verdana" w:hAnsi="Verdana" w:cs="Verdana"/>
          <w:sz w:val="20"/>
          <w:szCs w:val="20"/>
        </w:rPr>
        <w:t>r ricreare ambienti invernali in piccoli contesti</w:t>
      </w:r>
      <w:r w:rsidR="00C15FEF">
        <w:rPr>
          <w:rFonts w:ascii="Verdana" w:eastAsia="Verdana" w:hAnsi="Verdana" w:cs="Verdana"/>
          <w:sz w:val="20"/>
          <w:szCs w:val="20"/>
        </w:rPr>
        <w:t>.</w:t>
      </w:r>
    </w:p>
    <w:p w14:paraId="10FB4301" w14:textId="77777777" w:rsidR="00FA5153" w:rsidRPr="00C15FEF" w:rsidRDefault="00FA5153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FDD484B" w14:textId="4C01F3A4" w:rsidR="00BF2B93" w:rsidRDefault="00BF2B93">
      <w:pPr>
        <w:jc w:val="both"/>
        <w:rPr>
          <w:rFonts w:ascii="Verdana" w:eastAsia="Verdana" w:hAnsi="Verdana" w:cs="Verdana"/>
          <w:sz w:val="20"/>
          <w:szCs w:val="20"/>
        </w:rPr>
      </w:pPr>
      <w:r w:rsidRPr="00C15FEF">
        <w:rPr>
          <w:rFonts w:ascii="Verdana" w:eastAsia="Verdana" w:hAnsi="Verdana" w:cs="Verdana"/>
          <w:sz w:val="20"/>
          <w:szCs w:val="20"/>
        </w:rPr>
        <w:t>Protagonisti dei tavoli tematici sa</w:t>
      </w:r>
      <w:r>
        <w:rPr>
          <w:rFonts w:ascii="Verdana" w:eastAsia="Verdana" w:hAnsi="Verdana" w:cs="Verdana"/>
          <w:sz w:val="20"/>
          <w:szCs w:val="20"/>
        </w:rPr>
        <w:t xml:space="preserve">ranno invece </w:t>
      </w:r>
      <w:r w:rsidR="00C87408">
        <w:rPr>
          <w:rFonts w:ascii="Verdana" w:eastAsia="Verdana" w:hAnsi="Verdana" w:cs="Verdana"/>
          <w:sz w:val="20"/>
          <w:szCs w:val="20"/>
        </w:rPr>
        <w:t>il Prof. Marco Bresadola, Professore Ordinario nonché Direttore del Dipartimento di Studi Umanistici, la Professoressa Alessandra Aprile, Professoressa ordinaria presso il Dipartimento di Ingegneria nonché il</w:t>
      </w:r>
      <w:r>
        <w:rPr>
          <w:rFonts w:ascii="Verdana" w:eastAsia="Verdana" w:hAnsi="Verdana" w:cs="Verdana"/>
          <w:sz w:val="20"/>
          <w:szCs w:val="20"/>
        </w:rPr>
        <w:t xml:space="preserve"> Prof. Mauro Tortonesi, Professore Associato presso il Dipartimento di Matematica ed Informatica</w:t>
      </w:r>
      <w:r w:rsidR="00C87408">
        <w:rPr>
          <w:rFonts w:ascii="Verdana" w:eastAsia="Verdana" w:hAnsi="Verdana" w:cs="Verdana"/>
          <w:sz w:val="20"/>
          <w:szCs w:val="20"/>
        </w:rPr>
        <w:t>.</w:t>
      </w:r>
    </w:p>
    <w:p w14:paraId="2F8FC9E3" w14:textId="62E23608" w:rsidR="00C87408" w:rsidRPr="00C15FEF" w:rsidRDefault="00C87408" w:rsidP="00C87408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Rappresentante del nostro Ateneo alla Conferenza stampa che si terrà il prossimo 14 maggio alle ore 12.00 </w:t>
      </w:r>
      <w:r w:rsidRPr="00C87408">
        <w:rPr>
          <w:rFonts w:ascii="Verdana" w:eastAsia="Verdana" w:hAnsi="Verdana" w:cs="Verdana"/>
          <w:sz w:val="20"/>
          <w:szCs w:val="20"/>
        </w:rPr>
        <w:t xml:space="preserve">presso 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Pr="00C87408">
        <w:rPr>
          <w:rFonts w:ascii="Verdana" w:eastAsia="Verdana" w:hAnsi="Verdana" w:cs="Verdana"/>
          <w:sz w:val="20"/>
          <w:szCs w:val="20"/>
        </w:rPr>
        <w:t>la Sala VIII Centenario in via Zamboni 33</w:t>
      </w:r>
      <w:r>
        <w:rPr>
          <w:rFonts w:ascii="Verdana" w:eastAsia="Verdana" w:hAnsi="Verdana" w:cs="Verdana"/>
          <w:sz w:val="20"/>
          <w:szCs w:val="20"/>
        </w:rPr>
        <w:t>, sarà il Prof. Enrico Bracci, Professore Ordinario presso il Dipartimento di Economia e Management nonché Prorettore Delegato alla Terza Missione.</w:t>
      </w:r>
    </w:p>
    <w:p w14:paraId="36855C52" w14:textId="77777777" w:rsidR="00BF2B93" w:rsidRPr="00BF2B93" w:rsidRDefault="00BF2B93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124639FC" w14:textId="77777777" w:rsidR="00FA5153" w:rsidRPr="00BF2B93" w:rsidRDefault="00FA5153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B2B2A00" w14:textId="77777777" w:rsidR="00FA5153" w:rsidRPr="00BF2B93" w:rsidRDefault="00FA5153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1F71758" w14:textId="77777777" w:rsidR="0051342F" w:rsidRPr="00BF2B93" w:rsidRDefault="0051342F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F476089" w14:textId="77777777" w:rsidR="0051342F" w:rsidRDefault="00000000">
      <w:pPr>
        <w:jc w:val="both"/>
        <w:rPr>
          <w:rFonts w:ascii="Verdana" w:eastAsia="Verdana" w:hAnsi="Verdana" w:cs="Verdana"/>
          <w:b/>
          <w:sz w:val="20"/>
          <w:szCs w:val="20"/>
          <w:u w:val="single"/>
        </w:rPr>
      </w:pPr>
      <w:proofErr w:type="spellStart"/>
      <w:r>
        <w:rPr>
          <w:rFonts w:ascii="Verdana" w:eastAsia="Verdana" w:hAnsi="Verdana" w:cs="Verdana"/>
          <w:b/>
          <w:sz w:val="20"/>
          <w:szCs w:val="20"/>
          <w:u w:val="single"/>
        </w:rPr>
        <w:t>StartUp</w:t>
      </w:r>
      <w:proofErr w:type="spellEnd"/>
      <w:r>
        <w:rPr>
          <w:rFonts w:ascii="Verdana" w:eastAsia="Verdana" w:hAnsi="Verdana" w:cs="Verdana"/>
          <w:b/>
          <w:sz w:val="20"/>
          <w:szCs w:val="20"/>
          <w:u w:val="single"/>
        </w:rPr>
        <w:t xml:space="preserve"> Day - Venerdì 23 maggio, ore 9.30-20.30, </w:t>
      </w:r>
      <w:proofErr w:type="spellStart"/>
      <w:r>
        <w:rPr>
          <w:rFonts w:ascii="Verdana" w:eastAsia="Verdana" w:hAnsi="Verdana" w:cs="Verdana"/>
          <w:b/>
          <w:sz w:val="20"/>
          <w:szCs w:val="20"/>
          <w:u w:val="single"/>
        </w:rPr>
        <w:t>DumBO</w:t>
      </w:r>
      <w:proofErr w:type="spellEnd"/>
      <w:r>
        <w:rPr>
          <w:rFonts w:ascii="Verdana" w:eastAsia="Verdana" w:hAnsi="Verdana" w:cs="Verdana"/>
          <w:b/>
          <w:sz w:val="20"/>
          <w:szCs w:val="20"/>
          <w:u w:val="single"/>
        </w:rPr>
        <w:t>, via Camillo Casarini, 19, Bologna</w:t>
      </w:r>
    </w:p>
    <w:p w14:paraId="204F523F" w14:textId="77777777" w:rsidR="0051342F" w:rsidRDefault="0051342F">
      <w:pPr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1E12F2B6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lastRenderedPageBreak/>
        <w:t>Un evento organizzato da:</w:t>
      </w:r>
      <w:r>
        <w:rPr>
          <w:rFonts w:ascii="Verdana" w:eastAsia="Verdana" w:hAnsi="Verdana" w:cs="Verdana"/>
          <w:sz w:val="20"/>
          <w:szCs w:val="20"/>
        </w:rPr>
        <w:t xml:space="preserve"> Università degli Studi di Bologna, Università degli Studi di Ferrara, </w:t>
      </w:r>
      <w:proofErr w:type="spellStart"/>
      <w:r>
        <w:rPr>
          <w:rFonts w:ascii="Verdana" w:eastAsia="Verdana" w:hAnsi="Verdana" w:cs="Verdana"/>
          <w:sz w:val="20"/>
          <w:szCs w:val="20"/>
        </w:rPr>
        <w:t>Unimore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Università degli Studi di Modena e Reggio Emilia, Università di Parma, Consiglio Nazionale delle Ricerche, Politecnico di Milano, Università Cattolica del Sacro Cuore, CNR, ART-ER</w:t>
      </w:r>
    </w:p>
    <w:p w14:paraId="57F5EFF4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Con il supporto di:</w:t>
      </w:r>
      <w:r>
        <w:rPr>
          <w:rFonts w:ascii="Verdana" w:eastAsia="Verdana" w:hAnsi="Verdana" w:cs="Verdana"/>
          <w:sz w:val="20"/>
          <w:szCs w:val="20"/>
        </w:rPr>
        <w:t xml:space="preserve"> Next Generation EU, Ministero dell’Università e della Ricerca, Italia Domani, Fondazione </w:t>
      </w:r>
      <w:proofErr w:type="spellStart"/>
      <w:r>
        <w:rPr>
          <w:rFonts w:ascii="Verdana" w:eastAsia="Verdana" w:hAnsi="Verdana" w:cs="Verdana"/>
          <w:sz w:val="20"/>
          <w:szCs w:val="20"/>
        </w:rPr>
        <w:t>Ecosister</w:t>
      </w:r>
      <w:proofErr w:type="spellEnd"/>
    </w:p>
    <w:p w14:paraId="11035A8E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Partner:</w:t>
      </w:r>
      <w:r>
        <w:rPr>
          <w:rFonts w:ascii="Verdana" w:eastAsia="Verdana" w:hAnsi="Verdana" w:cs="Verdana"/>
          <w:sz w:val="20"/>
          <w:szCs w:val="20"/>
        </w:rPr>
        <w:t xml:space="preserve"> Legacoop Bologna, MUG Magazzini Generativi, </w:t>
      </w:r>
      <w:proofErr w:type="spellStart"/>
      <w:r>
        <w:rPr>
          <w:rFonts w:ascii="Verdana" w:eastAsia="Verdana" w:hAnsi="Verdana" w:cs="Verdana"/>
          <w:sz w:val="20"/>
          <w:szCs w:val="20"/>
        </w:rPr>
        <w:t>Bugnion</w:t>
      </w:r>
      <w:proofErr w:type="spellEnd"/>
      <w:r>
        <w:rPr>
          <w:rFonts w:ascii="Verdana" w:eastAsia="Verdana" w:hAnsi="Verdana" w:cs="Verdana"/>
          <w:sz w:val="20"/>
          <w:szCs w:val="20"/>
        </w:rPr>
        <w:t>,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Fondazione </w:t>
      </w:r>
      <w:proofErr w:type="spellStart"/>
      <w:r>
        <w:rPr>
          <w:rFonts w:ascii="Verdana" w:eastAsia="Verdana" w:hAnsi="Verdana" w:cs="Verdana"/>
          <w:sz w:val="20"/>
          <w:szCs w:val="20"/>
        </w:rPr>
        <w:t>Maverx</w:t>
      </w:r>
      <w:proofErr w:type="spellEnd"/>
    </w:p>
    <w:p w14:paraId="48B5B72D" w14:textId="77777777" w:rsidR="0051342F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Con il patrocinio di:</w:t>
      </w:r>
      <w:r>
        <w:rPr>
          <w:rFonts w:ascii="Verdana" w:eastAsia="Verdana" w:hAnsi="Verdana" w:cs="Verdana"/>
          <w:sz w:val="20"/>
          <w:szCs w:val="20"/>
        </w:rPr>
        <w:t xml:space="preserve"> Regione Emilia-Romagna, Commissione Europea</w:t>
      </w:r>
    </w:p>
    <w:p w14:paraId="7E411F06" w14:textId="77777777" w:rsidR="0051342F" w:rsidRDefault="0051342F">
      <w:pPr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235015AE" w14:textId="77777777" w:rsidR="00FA5153" w:rsidRPr="00FA5153" w:rsidRDefault="00FA5153" w:rsidP="00FA5153">
      <w:pPr>
        <w:jc w:val="both"/>
        <w:rPr>
          <w:rFonts w:ascii="Verdana" w:eastAsia="Times New Roman" w:hAnsi="Verdana" w:cs="Times New Roman"/>
          <w:b/>
          <w:color w:val="E12ACD"/>
          <w:sz w:val="20"/>
          <w:szCs w:val="20"/>
        </w:rPr>
      </w:pPr>
      <w:r w:rsidRPr="00FA5153">
        <w:rPr>
          <w:rFonts w:ascii="Verdana" w:eastAsia="Times New Roman" w:hAnsi="Verdana" w:cs="Times New Roman"/>
          <w:b/>
          <w:color w:val="E12ACD"/>
          <w:sz w:val="20"/>
          <w:szCs w:val="20"/>
        </w:rPr>
        <w:t>E' possibile scaricare foto ad alta delle scorse edizioni a questo link:</w:t>
      </w:r>
    </w:p>
    <w:p w14:paraId="525C6849" w14:textId="77777777" w:rsidR="00FA5153" w:rsidRPr="00FA5153" w:rsidRDefault="00FA5153" w:rsidP="00FA5153">
      <w:pPr>
        <w:jc w:val="both"/>
        <w:rPr>
          <w:rFonts w:ascii="Verdana" w:eastAsia="Times New Roman" w:hAnsi="Verdana" w:cs="Times New Roman"/>
          <w:bCs/>
          <w:color w:val="E12ACD"/>
          <w:sz w:val="20"/>
          <w:szCs w:val="20"/>
          <w:highlight w:val="yellow"/>
        </w:rPr>
      </w:pPr>
      <w:r w:rsidRPr="00FA5153">
        <w:rPr>
          <w:rFonts w:ascii="Verdana" w:eastAsia="Times New Roman" w:hAnsi="Verdana" w:cs="Times New Roman"/>
          <w:bCs/>
          <w:color w:val="E12ACD"/>
          <w:sz w:val="20"/>
          <w:szCs w:val="20"/>
        </w:rPr>
        <w:t>https://drive.google.com/drive/folders/16KFEfTRZNB0LE34kC-u2qadnCUkzp1pc?usp=sharing</w:t>
      </w:r>
    </w:p>
    <w:p w14:paraId="3E199B93" w14:textId="77777777" w:rsidR="0051342F" w:rsidRDefault="0051342F">
      <w:pPr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7772352F" w14:textId="77777777" w:rsidR="00FA5153" w:rsidRDefault="00FA5153">
      <w:pPr>
        <w:rPr>
          <w:rFonts w:ascii="Verdana" w:eastAsia="Verdana" w:hAnsi="Verdana" w:cs="Verdana"/>
          <w:b/>
          <w:sz w:val="20"/>
          <w:szCs w:val="20"/>
        </w:rPr>
      </w:pPr>
    </w:p>
    <w:p w14:paraId="736F43A8" w14:textId="77777777" w:rsidR="0051342F" w:rsidRDefault="0000000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Ufficio stampa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Momeda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Eventi</w:t>
      </w:r>
    </w:p>
    <w:p w14:paraId="0E838057" w14:textId="77777777" w:rsidR="0051342F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Silvia Gibellini 339.8850143</w:t>
      </w:r>
    </w:p>
    <w:p w14:paraId="65DF4A44" w14:textId="77777777" w:rsidR="0051342F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Giulia Vellani 333.8608872</w:t>
      </w:r>
    </w:p>
    <w:p w14:paraId="4231098A" w14:textId="77777777" w:rsidR="0051342F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stampa@momedaeventi.com</w:t>
      </w:r>
    </w:p>
    <w:p w14:paraId="6E47D01E" w14:textId="77777777" w:rsidR="0051342F" w:rsidRDefault="0051342F">
      <w:pPr>
        <w:rPr>
          <w:rFonts w:ascii="Verdana" w:eastAsia="Verdana" w:hAnsi="Verdana" w:cs="Verdana"/>
          <w:sz w:val="20"/>
          <w:szCs w:val="20"/>
        </w:rPr>
      </w:pPr>
    </w:p>
    <w:p w14:paraId="5407F8B2" w14:textId="77777777" w:rsidR="0051342F" w:rsidRDefault="0051342F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50DCB0C9" w14:textId="77777777" w:rsidR="0051342F" w:rsidRDefault="0051342F">
      <w:pPr>
        <w:rPr>
          <w:rFonts w:ascii="Verdana" w:eastAsia="Verdana" w:hAnsi="Verdana" w:cs="Verdana"/>
          <w:sz w:val="20"/>
          <w:szCs w:val="20"/>
        </w:rPr>
      </w:pPr>
    </w:p>
    <w:sectPr w:rsidR="0051342F">
      <w:headerReference w:type="default" r:id="rId8"/>
      <w:footerReference w:type="default" r:id="rId9"/>
      <w:pgSz w:w="11906" w:h="16838"/>
      <w:pgMar w:top="1417" w:right="1134" w:bottom="1134" w:left="1134" w:header="277" w:footer="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74C59" w14:textId="77777777" w:rsidR="00A9013D" w:rsidRDefault="00A9013D">
      <w:r>
        <w:separator/>
      </w:r>
    </w:p>
  </w:endnote>
  <w:endnote w:type="continuationSeparator" w:id="0">
    <w:p w14:paraId="50832A71" w14:textId="77777777" w:rsidR="00A9013D" w:rsidRDefault="00A90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3AF6A63-5FF3-4B43-AE05-DCF4B373949F}"/>
    <w:embedBold r:id="rId2" w:fontKey="{B9909040-3711-4C10-9923-5B514529B93C}"/>
    <w:embedItalic r:id="rId3" w:fontKey="{EB3DF77E-5FB0-46D1-9CA6-42ACE25150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4" w:fontKey="{FF28164E-3593-4B54-BC78-CE2778167B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704965-2FD1-4D19-BD49-32827D2C7E4C}"/>
    <w:embedBold r:id="rId6" w:fontKey="{D93E430A-3C49-4EB4-92CF-3F8FAA968268}"/>
    <w:embedItalic r:id="rId7" w:fontKey="{17C1E8AB-0C91-47CC-AC27-D7EA152ACF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C89A7B-62B8-4106-A17D-CE67133AFC2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28F0E" w14:textId="77777777" w:rsidR="0051342F" w:rsidRDefault="0051342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62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950"/>
    </w:tblGrid>
    <w:tr w:rsidR="0051342F" w:rsidRPr="00C15FEF" w14:paraId="62014DD7" w14:textId="77777777">
      <w:trPr>
        <w:trHeight w:val="510"/>
      </w:trPr>
      <w:tc>
        <w:tcPr>
          <w:tcW w:w="4678" w:type="dxa"/>
          <w:vAlign w:val="center"/>
        </w:tcPr>
        <w:p w14:paraId="2AB6B0BA" w14:textId="77777777" w:rsidR="0051342F" w:rsidRPr="00C15F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b/>
              <w:color w:val="003333"/>
              <w:sz w:val="15"/>
              <w:szCs w:val="15"/>
              <w:lang w:val="fr-FR"/>
            </w:rPr>
          </w:pPr>
          <w:r w:rsidRPr="00C15FEF">
            <w:rPr>
              <w:b/>
              <w:color w:val="003333"/>
              <w:sz w:val="15"/>
              <w:szCs w:val="15"/>
              <w:lang w:val="fr-FR"/>
            </w:rPr>
            <w:t>__________</w:t>
          </w:r>
        </w:p>
        <w:p w14:paraId="3DA6A297" w14:textId="77777777" w:rsidR="0051342F" w:rsidRPr="00C15F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b/>
              <w:color w:val="003333"/>
              <w:sz w:val="15"/>
              <w:szCs w:val="15"/>
              <w:lang w:val="fr-FR"/>
            </w:rPr>
          </w:pPr>
          <w:r w:rsidRPr="00C15FEF">
            <w:rPr>
              <w:b/>
              <w:color w:val="003333"/>
              <w:sz w:val="15"/>
              <w:szCs w:val="15"/>
              <w:lang w:val="fr-FR"/>
            </w:rPr>
            <w:t>Mail:</w:t>
          </w:r>
          <w:r w:rsidRPr="00C15FEF">
            <w:rPr>
              <w:color w:val="003333"/>
              <w:sz w:val="15"/>
              <w:szCs w:val="15"/>
              <w:lang w:val="fr-FR"/>
            </w:rPr>
            <w:t xml:space="preserve"> startupday2025@ecosister.it</w:t>
          </w:r>
        </w:p>
        <w:p w14:paraId="3CB85E96" w14:textId="77777777" w:rsidR="0051342F" w:rsidRPr="00C15F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3333"/>
              <w:sz w:val="15"/>
              <w:szCs w:val="15"/>
              <w:lang w:val="fr-FR"/>
            </w:rPr>
          </w:pPr>
          <w:r w:rsidRPr="00C15FEF">
            <w:rPr>
              <w:b/>
              <w:color w:val="003333"/>
              <w:sz w:val="15"/>
              <w:szCs w:val="15"/>
              <w:lang w:val="fr-FR"/>
            </w:rPr>
            <w:t>Web:</w:t>
          </w:r>
          <w:r w:rsidRPr="00C15FEF">
            <w:rPr>
              <w:color w:val="003333"/>
              <w:sz w:val="15"/>
              <w:szCs w:val="15"/>
              <w:lang w:val="fr-FR"/>
            </w:rPr>
            <w:t xml:space="preserve"> https://ttip.ecosister.it/it/pillar-incubazione/startup-day-2025</w:t>
          </w:r>
        </w:p>
        <w:p w14:paraId="08117145" w14:textId="77777777" w:rsidR="0051342F" w:rsidRPr="00C15FEF" w:rsidRDefault="005134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3333"/>
              <w:sz w:val="15"/>
              <w:szCs w:val="15"/>
              <w:lang w:val="fr-FR"/>
            </w:rPr>
          </w:pPr>
        </w:p>
      </w:tc>
      <w:tc>
        <w:tcPr>
          <w:tcW w:w="4950" w:type="dxa"/>
          <w:vAlign w:val="center"/>
        </w:tcPr>
        <w:p w14:paraId="20331034" w14:textId="77777777" w:rsidR="0051342F" w:rsidRPr="00C15FEF" w:rsidRDefault="005134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3333"/>
              <w:sz w:val="15"/>
              <w:szCs w:val="15"/>
              <w:lang w:val="fr-FR"/>
            </w:rPr>
          </w:pPr>
        </w:p>
      </w:tc>
    </w:tr>
    <w:tr w:rsidR="0051342F" w14:paraId="09EB9573" w14:textId="77777777">
      <w:tc>
        <w:tcPr>
          <w:tcW w:w="9628" w:type="dxa"/>
          <w:gridSpan w:val="2"/>
        </w:tcPr>
        <w:p w14:paraId="67141EB9" w14:textId="77777777" w:rsidR="005134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12014F5" wp14:editId="66D0D13F">
                <wp:extent cx="6010693" cy="428445"/>
                <wp:effectExtent l="0" t="0" r="0" b="0"/>
                <wp:docPr id="1222236323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0693" cy="4284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DD10205" w14:textId="77777777" w:rsidR="0051342F" w:rsidRDefault="005134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B51C8" w14:textId="77777777" w:rsidR="00A9013D" w:rsidRDefault="00A9013D">
      <w:r>
        <w:separator/>
      </w:r>
    </w:p>
  </w:footnote>
  <w:footnote w:type="continuationSeparator" w:id="0">
    <w:p w14:paraId="053F076D" w14:textId="77777777" w:rsidR="00A9013D" w:rsidRDefault="00A90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D963F" w14:textId="77777777" w:rsidR="005134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EE4CE59" wp14:editId="7ACCE2A7">
          <wp:extent cx="1645774" cy="1243752"/>
          <wp:effectExtent l="0" t="0" r="0" b="0"/>
          <wp:docPr id="1222236322" name="image1.png" descr="Immagine che contiene testo, Carattere, schermata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schermata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5774" cy="1243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C068" w14:textId="77777777" w:rsidR="0051342F" w:rsidRDefault="005134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75438"/>
    <w:multiLevelType w:val="multilevel"/>
    <w:tmpl w:val="7B783F28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091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42F"/>
    <w:rsid w:val="00077124"/>
    <w:rsid w:val="00087CB1"/>
    <w:rsid w:val="00244776"/>
    <w:rsid w:val="003F6247"/>
    <w:rsid w:val="003F7B31"/>
    <w:rsid w:val="0051342F"/>
    <w:rsid w:val="006B4859"/>
    <w:rsid w:val="009D6C02"/>
    <w:rsid w:val="009E047B"/>
    <w:rsid w:val="00A9013D"/>
    <w:rsid w:val="00BF2B93"/>
    <w:rsid w:val="00C15FEF"/>
    <w:rsid w:val="00C87408"/>
    <w:rsid w:val="00D304AB"/>
    <w:rsid w:val="00DE2AEC"/>
    <w:rsid w:val="00FA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0B630"/>
  <w15:docId w15:val="{8798318C-BAAB-9F4A-B8B5-A624391C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46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6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6D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6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6D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6D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46D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46D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46D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46D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546D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46D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6D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6DA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6DA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6DA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6DA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6DA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6DA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546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6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46D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46DA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46DA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46DA1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46D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46DA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46DA1"/>
    <w:rPr>
      <w:b/>
      <w:bCs/>
      <w:smallCaps/>
      <w:color w:val="2F5496" w:themeColor="accent1" w:themeShade="BF"/>
      <w:spacing w:val="5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9600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9600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96006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49600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600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0F32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36A4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6A48"/>
  </w:style>
  <w:style w:type="paragraph" w:styleId="Pidipagina">
    <w:name w:val="footer"/>
    <w:basedOn w:val="Normale"/>
    <w:link w:val="PidipaginaCarattere"/>
    <w:uiPriority w:val="99"/>
    <w:unhideWhenUsed/>
    <w:rsid w:val="00036A4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6A48"/>
  </w:style>
  <w:style w:type="table" w:styleId="Grigliatabella">
    <w:name w:val="Table Grid"/>
    <w:basedOn w:val="Tabellanormale"/>
    <w:uiPriority w:val="39"/>
    <w:rsid w:val="00036A48"/>
    <w:rPr>
      <w:rFonts w:asciiTheme="minorHAnsi" w:eastAsiaTheme="minorHAnsi" w:hAnsiTheme="minorHAnsi" w:cstheme="minorBid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e">
    <w:name w:val="Revision"/>
    <w:hidden/>
    <w:uiPriority w:val="99"/>
    <w:semiHidden/>
    <w:rsid w:val="006B4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NdKfaeFFWK8YVQIgMT09aRh6xQ==">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Gibellini</dc:creator>
  <cp:lastModifiedBy>Goldoni Paola</cp:lastModifiedBy>
  <cp:revision>4</cp:revision>
  <dcterms:created xsi:type="dcterms:W3CDTF">2025-05-05T06:24:00Z</dcterms:created>
  <dcterms:modified xsi:type="dcterms:W3CDTF">2025-05-05T06:33:00Z</dcterms:modified>
</cp:coreProperties>
</file>